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209E4" w14:textId="77777777" w:rsidR="009B4AED" w:rsidRPr="00493FDE" w:rsidRDefault="009B4AED" w:rsidP="009B4AED">
      <w:pPr>
        <w:jc w:val="center"/>
        <w:rPr>
          <w:b/>
          <w:bCs/>
          <w:sz w:val="36"/>
          <w:szCs w:val="36"/>
          <w:lang w:val="es-MX"/>
        </w:rPr>
      </w:pPr>
      <w:r w:rsidRPr="00493FDE">
        <w:rPr>
          <w:b/>
          <w:bCs/>
          <w:sz w:val="36"/>
          <w:szCs w:val="36"/>
          <w:lang w:val="es-MX"/>
        </w:rPr>
        <w:t xml:space="preserve">Enrique Cornejo </w:t>
      </w:r>
      <w:r w:rsidRPr="00493FDE">
        <w:rPr>
          <w:rFonts w:ascii="Calibri" w:hAnsi="Calibri" w:cs="Calibri"/>
          <w:b/>
          <w:bCs/>
          <w:sz w:val="36"/>
          <w:szCs w:val="36"/>
          <w:lang w:val="es-MX"/>
        </w:rPr>
        <w:t>Ramírez</w:t>
      </w:r>
    </w:p>
    <w:p w14:paraId="2AE272A8" w14:textId="77777777" w:rsidR="009B4AED" w:rsidRPr="00493FDE" w:rsidRDefault="009B4AED" w:rsidP="009B4AED">
      <w:pPr>
        <w:jc w:val="center"/>
        <w:rPr>
          <w:b/>
          <w:bCs/>
          <w:sz w:val="24"/>
          <w:szCs w:val="24"/>
          <w:lang w:val="es-MX"/>
        </w:rPr>
      </w:pPr>
      <w:r w:rsidRPr="00493FDE">
        <w:rPr>
          <w:b/>
          <w:bCs/>
          <w:sz w:val="24"/>
          <w:szCs w:val="24"/>
          <w:lang w:val="es-MX"/>
        </w:rPr>
        <w:t>Currículum detallado 2025</w:t>
      </w:r>
    </w:p>
    <w:p w14:paraId="4C555033" w14:textId="77777777" w:rsidR="009B4AED" w:rsidRPr="00493FDE" w:rsidRDefault="009B4AED" w:rsidP="009B4AED">
      <w:pPr>
        <w:jc w:val="center"/>
        <w:rPr>
          <w:b/>
          <w:bCs/>
          <w:sz w:val="24"/>
          <w:szCs w:val="24"/>
          <w:lang w:val="es-MX"/>
        </w:rPr>
      </w:pPr>
      <w:r w:rsidRPr="00493FDE">
        <w:rPr>
          <w:b/>
          <w:bCs/>
          <w:sz w:val="24"/>
          <w:szCs w:val="24"/>
          <w:lang w:val="es-MX"/>
        </w:rPr>
        <w:t xml:space="preserve">Página Web Oficial:  </w:t>
      </w:r>
      <w:hyperlink r:id="rId7" w:history="1">
        <w:r w:rsidRPr="00493FDE">
          <w:rPr>
            <w:rFonts w:eastAsiaTheme="minorEastAsia" w:hAnsi="Calibri"/>
            <w:b/>
            <w:bCs/>
            <w:color w:val="467886" w:themeColor="hyperlink"/>
            <w:kern w:val="24"/>
            <w:sz w:val="24"/>
            <w:szCs w:val="24"/>
            <w:u w:val="single"/>
            <w:lang w:val="es-MX" w:eastAsia="es-PE"/>
          </w:rPr>
          <w:t>https://enriquecornejoramirez.com</w:t>
        </w:r>
      </w:hyperlink>
    </w:p>
    <w:p w14:paraId="7FF2A511" w14:textId="77777777" w:rsidR="009B4AED" w:rsidRPr="00493FDE" w:rsidRDefault="009B4AED" w:rsidP="009B4AED">
      <w:pPr>
        <w:spacing w:before="200" w:after="0" w:line="216" w:lineRule="auto"/>
        <w:jc w:val="center"/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s-ES" w:eastAsia="es-PE"/>
        </w:rPr>
      </w:pPr>
      <w:r w:rsidRPr="00493FDE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s-ES" w:eastAsia="es-PE"/>
        </w:rPr>
        <w:t xml:space="preserve">Email: </w:t>
      </w:r>
      <w:hyperlink r:id="rId8" w:history="1">
        <w:r w:rsidRPr="00493FDE">
          <w:rPr>
            <w:rFonts w:eastAsiaTheme="minorEastAsia" w:hAnsi="Calibri"/>
            <w:b/>
            <w:bCs/>
            <w:color w:val="467886" w:themeColor="hyperlink"/>
            <w:kern w:val="24"/>
            <w:sz w:val="24"/>
            <w:szCs w:val="24"/>
            <w:u w:val="single"/>
            <w:lang w:val="es-ES" w:eastAsia="es-PE"/>
          </w:rPr>
          <w:t>ecornejo@observatoriovial.org</w:t>
        </w:r>
      </w:hyperlink>
      <w:r w:rsidRPr="00493FDE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s-ES" w:eastAsia="es-PE"/>
        </w:rPr>
        <w:t xml:space="preserve"> </w:t>
      </w:r>
    </w:p>
    <w:p w14:paraId="1AB376A3" w14:textId="77777777" w:rsidR="009B4AED" w:rsidRPr="00493FDE" w:rsidRDefault="009B4AED" w:rsidP="009B4AED">
      <w:pPr>
        <w:spacing w:before="200" w:after="0" w:line="216" w:lineRule="auto"/>
        <w:jc w:val="center"/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s-ES" w:eastAsia="es-PE"/>
        </w:rPr>
      </w:pPr>
    </w:p>
    <w:p w14:paraId="71DB0F9F" w14:textId="77777777" w:rsidR="009B4AED" w:rsidRPr="00493FDE" w:rsidRDefault="009B4AED" w:rsidP="009B4AED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es-PE"/>
        </w:rPr>
      </w:pPr>
    </w:p>
    <w:p w14:paraId="7BF340BE" w14:textId="77777777" w:rsidR="009B4AED" w:rsidRPr="00493FDE" w:rsidRDefault="009B4AED" w:rsidP="009B4AED">
      <w:pPr>
        <w:jc w:val="center"/>
        <w:rPr>
          <w:sz w:val="24"/>
          <w:szCs w:val="24"/>
          <w:lang w:val="es-MX"/>
        </w:rPr>
      </w:pPr>
      <w:r w:rsidRPr="00493FDE">
        <w:rPr>
          <w:noProof/>
        </w:rPr>
        <w:drawing>
          <wp:inline distT="0" distB="0" distL="0" distR="0" wp14:anchorId="0D1342DA" wp14:editId="36F8602A">
            <wp:extent cx="2381250" cy="2381250"/>
            <wp:effectExtent l="0" t="0" r="0" b="0"/>
            <wp:docPr id="2115566501" name="Imagen 2115566501" descr="Imagen en blanco y negro de un hombre con len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en blanco y negro de un hombre con lente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AE23" w14:textId="77777777" w:rsidR="009B4AED" w:rsidRPr="00493FDE" w:rsidRDefault="009B4AED" w:rsidP="009B4AED">
      <w:pPr>
        <w:rPr>
          <w:sz w:val="24"/>
          <w:szCs w:val="24"/>
          <w:lang w:val="es-MX"/>
        </w:rPr>
      </w:pPr>
    </w:p>
    <w:p w14:paraId="47B04AF5" w14:textId="77777777" w:rsidR="009B4AED" w:rsidRPr="00493FDE" w:rsidRDefault="009B4AED" w:rsidP="009B4AED">
      <w:pPr>
        <w:numPr>
          <w:ilvl w:val="0"/>
          <w:numId w:val="1"/>
        </w:numPr>
        <w:spacing w:line="278" w:lineRule="auto"/>
        <w:contextualSpacing/>
        <w:rPr>
          <w:b/>
          <w:bCs/>
          <w:sz w:val="24"/>
        </w:rPr>
      </w:pPr>
      <w:r w:rsidRPr="00493FDE">
        <w:rPr>
          <w:b/>
          <w:bCs/>
          <w:sz w:val="24"/>
        </w:rPr>
        <w:t xml:space="preserve">Sumilla </w:t>
      </w:r>
    </w:p>
    <w:p w14:paraId="51387577" w14:textId="77777777" w:rsidR="009B4AED" w:rsidRPr="00493FDE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 w:rsidRPr="00493FDE">
        <w:rPr>
          <w:rFonts w:ascii="Calibri" w:hAnsi="Calibri" w:cs="Calibri"/>
          <w:sz w:val="24"/>
        </w:rPr>
        <w:t xml:space="preserve">Economista de profesión, graduado en la Universidad de Lima; tiene Maestría y Doctorado en Administración, con especialidad en economía internacional, negociaciones, planeamiento estratégico y gestión de infraestructura. </w:t>
      </w:r>
    </w:p>
    <w:p w14:paraId="7DFF359C" w14:textId="77777777" w:rsidR="009B4AED" w:rsidRPr="00493FDE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 w:rsidRPr="00493FDE">
        <w:rPr>
          <w:rFonts w:ascii="Calibri" w:hAnsi="Calibri" w:cs="Calibri"/>
          <w:sz w:val="24"/>
        </w:rPr>
        <w:t>Actualmente es Profesor Principal de la Escuela de Negocios Internacionales de la Universidad Nacional Mayor de San Marcos (UNMSM)</w:t>
      </w:r>
      <w:r>
        <w:rPr>
          <w:rFonts w:ascii="Calibri" w:hAnsi="Calibri" w:cs="Calibri"/>
          <w:sz w:val="24"/>
        </w:rPr>
        <w:t xml:space="preserve"> y Profesor de Programa de Doctorado en Gobierno y Administración Pública de la Universidad Continental.</w:t>
      </w:r>
      <w:r w:rsidRPr="00493FDE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Integrante del Consejo Consultivo de la Municipalidad Distrital de Chancay.</w:t>
      </w:r>
      <w:r w:rsidRPr="00493FDE">
        <w:rPr>
          <w:rFonts w:ascii="Calibri" w:hAnsi="Calibri" w:cs="Calibri"/>
          <w:sz w:val="24"/>
        </w:rPr>
        <w:t xml:space="preserve"> Conferencista y Consultor de empresas privadas e instituciones públicas.</w:t>
      </w:r>
    </w:p>
    <w:p w14:paraId="42B8AAA4" w14:textId="77777777" w:rsidR="009B4AED" w:rsidRPr="00493FDE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 w:rsidRPr="00493FDE">
        <w:rPr>
          <w:rFonts w:ascii="Calibri" w:hAnsi="Calibri" w:cs="Calibri"/>
          <w:sz w:val="24"/>
        </w:rPr>
        <w:t xml:space="preserve">Es profesor universitario desde 1978, a nivel de pre y post grado en universidades del Perú, Ecuador y Bolivia. Ha publicado 41 libros y escrito cerca de 1,500 artículos y ensayos en periódicos y revistas peruanas e internacionales. Ha sido expositor en más de 750 conferencias nacionales e internacionales. </w:t>
      </w:r>
    </w:p>
    <w:p w14:paraId="417730EA" w14:textId="77777777" w:rsidR="009B4AED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 w:rsidRPr="00493FDE">
        <w:rPr>
          <w:rFonts w:ascii="Calibri" w:hAnsi="Calibri" w:cs="Calibri"/>
          <w:sz w:val="24"/>
        </w:rPr>
        <w:t xml:space="preserve">Anteriormente se ha desempeñado como presidente del Instituto de Comercio Exterior del Perú (ICE) (con rango de ministro de Estado), ministro de Vivienda, Construcción y Saneamiento (MVCS), ministro de Transportes y Comunicaciones (MTC). Ha sido presidente ejecutivo del Banco de la Nación del Perú (BN); director del Banco Central de Reserva del Perú (BCRP); presidente Ejecutivo del Banco de la Vivienda del Perú (BANVIP); </w:t>
      </w:r>
      <w:r>
        <w:rPr>
          <w:rFonts w:ascii="Calibri" w:hAnsi="Calibri" w:cs="Calibri"/>
          <w:sz w:val="24"/>
        </w:rPr>
        <w:t xml:space="preserve">y </w:t>
      </w:r>
      <w:r w:rsidRPr="00493FDE">
        <w:rPr>
          <w:rFonts w:ascii="Calibri" w:hAnsi="Calibri" w:cs="Calibri"/>
          <w:sz w:val="24"/>
        </w:rPr>
        <w:t>Miembro titular del Consejo Consultivo del Banco Latinoamericano de Exportaciones (BLADEX)</w:t>
      </w:r>
      <w:r>
        <w:rPr>
          <w:rFonts w:ascii="Calibri" w:hAnsi="Calibri" w:cs="Calibri"/>
          <w:sz w:val="24"/>
        </w:rPr>
        <w:t>.</w:t>
      </w:r>
      <w:r w:rsidRPr="00493FDE">
        <w:rPr>
          <w:rFonts w:ascii="Calibri" w:hAnsi="Calibri" w:cs="Calibri"/>
          <w:sz w:val="24"/>
        </w:rPr>
        <w:t xml:space="preserve"> </w:t>
      </w:r>
    </w:p>
    <w:p w14:paraId="149C6AF6" w14:textId="77777777" w:rsidR="009B4AED" w:rsidRPr="00493FDE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lastRenderedPageBreak/>
        <w:t>Ha sido, asimismo, Miembro del Consejo Consultivo de Alto Nivel del Ministerio de Comercio Exterior y Turismo (MINCETUR) para el proceso de negociación del Tratado de Libre Comercio (TLC) con los Estados Unidos de Norte América; secretario</w:t>
      </w:r>
      <w:r w:rsidRPr="00493FDE">
        <w:rPr>
          <w:rFonts w:ascii="Calibri" w:hAnsi="Calibri" w:cs="Calibri"/>
          <w:sz w:val="24"/>
        </w:rPr>
        <w:t xml:space="preserve"> Pro Tempore del Parlamento Andino</w:t>
      </w:r>
      <w:r>
        <w:rPr>
          <w:rFonts w:ascii="Calibri" w:hAnsi="Calibri" w:cs="Calibri"/>
          <w:sz w:val="24"/>
        </w:rPr>
        <w:t xml:space="preserve"> y</w:t>
      </w:r>
      <w:r w:rsidRPr="00493FDE">
        <w:rPr>
          <w:rFonts w:ascii="Calibri" w:hAnsi="Calibri" w:cs="Calibri"/>
          <w:sz w:val="24"/>
        </w:rPr>
        <w:t xml:space="preserve"> Asesor Principal del Congreso de la República del Perú</w:t>
      </w:r>
      <w:r>
        <w:rPr>
          <w:rFonts w:ascii="Calibri" w:hAnsi="Calibri" w:cs="Calibri"/>
          <w:sz w:val="24"/>
        </w:rPr>
        <w:t>.</w:t>
      </w:r>
    </w:p>
    <w:p w14:paraId="4FC00CB3" w14:textId="77777777" w:rsidR="009B4AED" w:rsidRPr="00493FDE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 w:rsidRPr="00493FDE">
        <w:rPr>
          <w:rFonts w:ascii="Calibri" w:hAnsi="Calibri" w:cs="Calibri"/>
          <w:sz w:val="24"/>
        </w:rPr>
        <w:t>Entre las principales obras que desarrolló en su gestión pública se pueden mencionar: la modernización de los puertos del Callao y Paita; la concesión</w:t>
      </w:r>
      <w:r>
        <w:rPr>
          <w:rFonts w:ascii="Calibri" w:hAnsi="Calibri" w:cs="Calibri"/>
          <w:sz w:val="24"/>
        </w:rPr>
        <w:t xml:space="preserve"> y construcción</w:t>
      </w:r>
      <w:r w:rsidRPr="00493FDE">
        <w:rPr>
          <w:rFonts w:ascii="Calibri" w:hAnsi="Calibri" w:cs="Calibri"/>
          <w:sz w:val="24"/>
        </w:rPr>
        <w:t xml:space="preserve"> del primer puerto fluvial portacontenedores en Nueva Reforma- Yurimaguas, la construcción y puesta en operación de la Línea 1 así como el diseño de la Red Integral del Metro de Lima y Callao; la modernización del Ferrocarril Central; la construcción, rehabilitación y mantenimiento de más 10,500 kilómetros de carreteras en todo el país; y, la ampliación de la Autopista Lima-Ica.</w:t>
      </w:r>
    </w:p>
    <w:p w14:paraId="15B404C0" w14:textId="77777777" w:rsidR="009B4AED" w:rsidRPr="00493FDE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 w:rsidRPr="00493FDE">
        <w:rPr>
          <w:rFonts w:ascii="Calibri" w:hAnsi="Calibri" w:cs="Calibri"/>
          <w:sz w:val="24"/>
        </w:rPr>
        <w:t>También lideró la adopción del estándar japonés de televisión digital terrestre (ISDB-T); la modernización del Banco de la Nación; la expropiación de los terrenos para la ampliación del Aeropuerto Internacional Jorge Chávez; el lanzamiento de la Campaña del “Amigo Elegido”</w:t>
      </w:r>
      <w:r>
        <w:rPr>
          <w:rFonts w:ascii="Calibri" w:hAnsi="Calibri" w:cs="Calibri"/>
          <w:sz w:val="24"/>
        </w:rPr>
        <w:t xml:space="preserve"> para disuadir la toma de bebidas alcohólicas al manejar</w:t>
      </w:r>
      <w:r w:rsidRPr="00493FDE">
        <w:rPr>
          <w:rFonts w:ascii="Calibri" w:hAnsi="Calibri" w:cs="Calibri"/>
          <w:sz w:val="24"/>
        </w:rPr>
        <w:t xml:space="preserve">; y, la creación del Depósito Franco en Tacna (hoy Zona Franca de Tacna). En su gestión como ministro de Transportes y Comunicaciones registró una ejecución de inversiones públicas del 96.1 por ciento anual en 2009 y 2010, años de crisis económica internacional. </w:t>
      </w:r>
    </w:p>
    <w:p w14:paraId="3626E56F" w14:textId="77777777" w:rsidR="009B4AED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 w:rsidRPr="00493FDE">
        <w:rPr>
          <w:rFonts w:ascii="Calibri" w:hAnsi="Calibri" w:cs="Calibri"/>
          <w:sz w:val="24"/>
        </w:rPr>
        <w:t xml:space="preserve">Obtuvo el Primer Premio América Latina- ALADI 1983, otorgado por la Asociación Latinoamericana de Integración con sede en Montevideo-Uruguay. </w:t>
      </w:r>
      <w:r>
        <w:rPr>
          <w:rFonts w:ascii="Calibri" w:hAnsi="Calibri" w:cs="Calibri"/>
          <w:sz w:val="24"/>
        </w:rPr>
        <w:t xml:space="preserve">Se le ha otorgado el Doctorado Honoris Causa en la Universidad Nacional de Ingeniería (UNI), Universidad Nacional San Agustín de Arequipa (UNSA), Universidad Nacional Hermilio Valdizán de Huánuco (UNHEVAL) y Universidad Particular de Iquitos. </w:t>
      </w:r>
    </w:p>
    <w:p w14:paraId="0D3CA932" w14:textId="77777777" w:rsidR="009B4AED" w:rsidRDefault="009B4AED" w:rsidP="009B4AED">
      <w:pPr>
        <w:ind w:left="425" w:firstLine="283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</w:rPr>
        <w:t xml:space="preserve">Ostenta la </w:t>
      </w:r>
      <w:r w:rsidRPr="00C22C01">
        <w:rPr>
          <w:rFonts w:ascii="Calibri" w:hAnsi="Calibri" w:cs="Calibri"/>
          <w:sz w:val="24"/>
          <w:szCs w:val="24"/>
          <w:lang w:val="es-MX"/>
        </w:rPr>
        <w:t>Condecoración de la Orden al Mérito por Servicios Distinguidos en el Grado de Gran Cruz, otorgado por el Gobierno del Perú</w:t>
      </w:r>
      <w:r>
        <w:rPr>
          <w:rFonts w:ascii="Calibri" w:hAnsi="Calibri" w:cs="Calibri"/>
          <w:sz w:val="24"/>
          <w:szCs w:val="24"/>
          <w:lang w:val="es-MX"/>
        </w:rPr>
        <w:t xml:space="preserve">; la </w:t>
      </w:r>
      <w:r w:rsidRPr="00C22C01">
        <w:rPr>
          <w:rFonts w:ascii="Calibri" w:hAnsi="Calibri" w:cs="Calibri"/>
          <w:sz w:val="24"/>
          <w:szCs w:val="24"/>
          <w:lang w:val="es-MX"/>
        </w:rPr>
        <w:t>Condecoración de la Medalla al Mérito “Andrés Reyes” del Senado de la República del Perú, en el grado de Gran Oficial</w:t>
      </w:r>
      <w:r>
        <w:rPr>
          <w:rFonts w:ascii="Calibri" w:hAnsi="Calibri" w:cs="Calibri"/>
          <w:sz w:val="24"/>
          <w:szCs w:val="24"/>
          <w:lang w:val="es-MX"/>
        </w:rPr>
        <w:t xml:space="preserve">; y la </w:t>
      </w:r>
      <w:r w:rsidRPr="00C22C01">
        <w:rPr>
          <w:rFonts w:ascii="Calibri" w:hAnsi="Calibri" w:cs="Calibri"/>
          <w:sz w:val="24"/>
          <w:szCs w:val="24"/>
          <w:lang w:val="es-MX"/>
        </w:rPr>
        <w:t>Condecoración de la “Orden al Mérito de la Policía Nacional del Perú” en el Grado de Gran Cruz, por “Servicios Excepcionales”</w:t>
      </w:r>
      <w:r>
        <w:rPr>
          <w:rFonts w:ascii="Calibri" w:hAnsi="Calibri" w:cs="Calibri"/>
          <w:sz w:val="24"/>
          <w:szCs w:val="24"/>
          <w:lang w:val="es-MX"/>
        </w:rPr>
        <w:t>.</w:t>
      </w:r>
    </w:p>
    <w:p w14:paraId="6B339CC8" w14:textId="77777777" w:rsidR="009B4AED" w:rsidRPr="00C22C01" w:rsidRDefault="009B4AED" w:rsidP="009B4AED">
      <w:pPr>
        <w:ind w:left="425" w:firstLine="283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 xml:space="preserve">Ha sido premiado por el Gobierno del Japón con Diploma de Honor y Reconocimiento por el </w:t>
      </w:r>
      <w:r w:rsidRPr="00C22C01">
        <w:rPr>
          <w:rFonts w:ascii="Calibri" w:hAnsi="Calibri" w:cs="Calibri"/>
          <w:sz w:val="24"/>
          <w:szCs w:val="24"/>
          <w:lang w:val="es-MX"/>
        </w:rPr>
        <w:t>Ministerio de Asuntos Internos y Comunicaciones del Gobierno del Japón</w:t>
      </w:r>
      <w:r>
        <w:rPr>
          <w:rFonts w:ascii="Calibri" w:hAnsi="Calibri" w:cs="Calibri"/>
          <w:sz w:val="24"/>
          <w:szCs w:val="24"/>
          <w:lang w:val="es-MX"/>
        </w:rPr>
        <w:t xml:space="preserve"> y por el Gobierno de los Estados Unidos Mexicanos con la </w:t>
      </w:r>
      <w:r w:rsidRPr="00C22C01">
        <w:rPr>
          <w:rFonts w:ascii="Calibri" w:hAnsi="Calibri" w:cs="Calibri"/>
          <w:sz w:val="24"/>
          <w:szCs w:val="24"/>
          <w:lang w:val="es-MX"/>
        </w:rPr>
        <w:t>Condecoración del Águila Azteca</w:t>
      </w:r>
      <w:r>
        <w:rPr>
          <w:rFonts w:ascii="Calibri" w:hAnsi="Calibri" w:cs="Calibri"/>
          <w:sz w:val="24"/>
          <w:szCs w:val="24"/>
          <w:lang w:val="es-MX"/>
        </w:rPr>
        <w:t xml:space="preserve">. </w:t>
      </w:r>
    </w:p>
    <w:p w14:paraId="361298A5" w14:textId="77777777" w:rsidR="009B4AED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Como autoridad universitaria se ha desempeñado como Vicedecano de Investigación y Posgrado y director de la Unidad de Posgrado de la Facultad de Ciencias Administrativas de la Universidad Nacional Mayor de San Marcos (UNMSM); Rector de la Universidad Peruana Simón Bolívar (UPSB); Miembro Titular del Consejo Directivo de la Universidad Andina Simón Bolívar (UASB) para Ecuador y Bolivia; director del Departamento de Economía y jefe de la Oficina Coordinadora de Investigación Científica de la Universidad de Lima. </w:t>
      </w:r>
    </w:p>
    <w:p w14:paraId="0276D2AE" w14:textId="77777777" w:rsidR="009B4AED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  <w:r w:rsidRPr="00493FDE">
        <w:rPr>
          <w:rFonts w:ascii="Calibri" w:hAnsi="Calibri" w:cs="Calibri"/>
          <w:sz w:val="24"/>
        </w:rPr>
        <w:lastRenderedPageBreak/>
        <w:t>Es activo participante en las redes sociales con su canal YouTube @EnriqueCornejoDigital en el que tiene más 1,</w:t>
      </w:r>
      <w:r>
        <w:rPr>
          <w:rFonts w:ascii="Calibri" w:hAnsi="Calibri" w:cs="Calibri"/>
          <w:sz w:val="24"/>
        </w:rPr>
        <w:t>40</w:t>
      </w:r>
      <w:r w:rsidRPr="00493FDE">
        <w:rPr>
          <w:rFonts w:ascii="Calibri" w:hAnsi="Calibri" w:cs="Calibri"/>
          <w:sz w:val="24"/>
        </w:rPr>
        <w:t xml:space="preserve">0 videos publicados y más de 5 mil suscriptores orgánicos. Su cuenta de Facebook Enrique Cornejo Digital tiene 69 mil seguidores y su Página Web Oficial es: </w:t>
      </w:r>
      <w:hyperlink r:id="rId10" w:history="1">
        <w:r w:rsidRPr="00493FDE">
          <w:rPr>
            <w:rFonts w:ascii="Calibri" w:eastAsiaTheme="minorEastAsia" w:hAnsi="Calibri" w:cs="Calibri"/>
            <w:b/>
            <w:bCs/>
            <w:color w:val="467886" w:themeColor="hyperlink"/>
            <w:kern w:val="24"/>
            <w:sz w:val="24"/>
            <w:szCs w:val="24"/>
            <w:u w:val="single"/>
            <w:lang w:val="es-MX" w:eastAsia="es-PE"/>
          </w:rPr>
          <w:t>https://enriquecornejoramirez.com</w:t>
        </w:r>
      </w:hyperlink>
      <w:r w:rsidRPr="00493FDE">
        <w:rPr>
          <w:rFonts w:ascii="Calibri" w:hAnsi="Calibri" w:cs="Calibri"/>
          <w:sz w:val="24"/>
        </w:rPr>
        <w:t xml:space="preserve"> </w:t>
      </w:r>
    </w:p>
    <w:p w14:paraId="237CFD6F" w14:textId="77777777" w:rsidR="009B4AED" w:rsidRDefault="009B4AED" w:rsidP="009B4AED">
      <w:pPr>
        <w:ind w:left="425" w:firstLine="283"/>
        <w:jc w:val="both"/>
        <w:rPr>
          <w:rFonts w:ascii="Calibri" w:hAnsi="Calibri" w:cs="Calibri"/>
          <w:sz w:val="24"/>
        </w:rPr>
      </w:pPr>
    </w:p>
    <w:p w14:paraId="3081A280" w14:textId="77777777" w:rsidR="009B4AED" w:rsidRDefault="009B4AED"/>
    <w:sectPr w:rsidR="009B4AED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BEB6C" w14:textId="77777777" w:rsidR="00DD267B" w:rsidRDefault="00DD267B" w:rsidP="009B4AED">
      <w:pPr>
        <w:spacing w:after="0" w:line="240" w:lineRule="auto"/>
      </w:pPr>
      <w:r>
        <w:separator/>
      </w:r>
    </w:p>
  </w:endnote>
  <w:endnote w:type="continuationSeparator" w:id="0">
    <w:p w14:paraId="3B2FEFEF" w14:textId="77777777" w:rsidR="00DD267B" w:rsidRDefault="00DD267B" w:rsidP="009B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988632"/>
      <w:docPartObj>
        <w:docPartGallery w:val="Page Numbers (Bottom of Page)"/>
        <w:docPartUnique/>
      </w:docPartObj>
    </w:sdtPr>
    <w:sdtContent>
      <w:p w14:paraId="630D17AD" w14:textId="535AD4C2" w:rsidR="009B4AED" w:rsidRDefault="009B4AE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1E2F53E" w14:textId="77777777" w:rsidR="009B4AED" w:rsidRDefault="009B4A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751D0" w14:textId="77777777" w:rsidR="00DD267B" w:rsidRDefault="00DD267B" w:rsidP="009B4AED">
      <w:pPr>
        <w:spacing w:after="0" w:line="240" w:lineRule="auto"/>
      </w:pPr>
      <w:r>
        <w:separator/>
      </w:r>
    </w:p>
  </w:footnote>
  <w:footnote w:type="continuationSeparator" w:id="0">
    <w:p w14:paraId="1D7CF6EB" w14:textId="77777777" w:rsidR="00DD267B" w:rsidRDefault="00DD267B" w:rsidP="009B4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4FF8"/>
    <w:multiLevelType w:val="multilevel"/>
    <w:tmpl w:val="76A295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47861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ED"/>
    <w:rsid w:val="00874E80"/>
    <w:rsid w:val="009B4AED"/>
    <w:rsid w:val="00DD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5DC99"/>
  <w15:chartTrackingRefBased/>
  <w15:docId w15:val="{931FE439-11A8-4CAC-B1D2-47009ABC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AED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4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4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4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4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4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4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4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4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4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4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4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4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4A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4A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4A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4A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4A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4A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4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4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4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4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4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4A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4A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4A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4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4A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4AE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B4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4AED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B4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4AE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rnejo@observatoriovial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riquecornejoramirez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nriquecornejoramirez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Cornejo Ramirez</dc:creator>
  <cp:keywords/>
  <dc:description/>
  <cp:lastModifiedBy>Enrique Cornejo Ramirez</cp:lastModifiedBy>
  <cp:revision>1</cp:revision>
  <dcterms:created xsi:type="dcterms:W3CDTF">2025-04-23T18:20:00Z</dcterms:created>
  <dcterms:modified xsi:type="dcterms:W3CDTF">2025-04-23T18:21:00Z</dcterms:modified>
</cp:coreProperties>
</file>